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45" w:rsidRPr="00736E45" w:rsidRDefault="00736E45" w:rsidP="00736E45">
      <w:pPr>
        <w:jc w:val="center"/>
        <w:rPr>
          <w:rFonts w:asciiTheme="minorHAnsi" w:hAnsiTheme="minorHAnsi"/>
          <w:b/>
          <w:color w:val="FF0000"/>
        </w:rPr>
      </w:pPr>
      <w:r w:rsidRPr="00736E45">
        <w:rPr>
          <w:rFonts w:asciiTheme="minorHAnsi" w:hAnsiTheme="minorHAnsi"/>
          <w:b/>
        </w:rPr>
        <w:t>North Yorkshire Community Learning Partnership</w:t>
      </w:r>
    </w:p>
    <w:p w:rsidR="00736E45" w:rsidRDefault="00736E45" w:rsidP="00736E4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Area Groups</w:t>
      </w:r>
    </w:p>
    <w:p w:rsidR="00736E45" w:rsidRPr="00736E45" w:rsidRDefault="00736E45" w:rsidP="00736E45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Expectations of the Strategy Group</w:t>
      </w:r>
    </w:p>
    <w:p w:rsidR="00736E45" w:rsidRPr="00736E45" w:rsidRDefault="00736E45" w:rsidP="00736E45">
      <w:pPr>
        <w:jc w:val="center"/>
        <w:rPr>
          <w:rFonts w:asciiTheme="minorHAnsi" w:hAnsiTheme="minorHAnsi"/>
          <w:b/>
        </w:rPr>
      </w:pPr>
      <w:r w:rsidRPr="00736E45">
        <w:rPr>
          <w:rFonts w:asciiTheme="minorHAnsi" w:hAnsiTheme="minorHAnsi"/>
          <w:b/>
        </w:rPr>
        <w:t>Ju</w:t>
      </w:r>
      <w:r>
        <w:rPr>
          <w:rFonts w:asciiTheme="minorHAnsi" w:hAnsiTheme="minorHAnsi"/>
          <w:b/>
        </w:rPr>
        <w:t>ly 2017</w:t>
      </w:r>
    </w:p>
    <w:p w:rsidR="00736E45" w:rsidRPr="00736E45" w:rsidRDefault="00736E45" w:rsidP="00736E45">
      <w:pPr>
        <w:jc w:val="center"/>
        <w:rPr>
          <w:rFonts w:asciiTheme="minorHAnsi" w:hAnsiTheme="minorHAnsi"/>
        </w:rPr>
      </w:pPr>
    </w:p>
    <w:p w:rsidR="00736E45" w:rsidRPr="00736E45" w:rsidRDefault="00736E45" w:rsidP="00736E45">
      <w:pPr>
        <w:rPr>
          <w:rFonts w:asciiTheme="minorHAnsi" w:hAnsiTheme="minorHAnsi"/>
        </w:rPr>
      </w:pPr>
      <w:r w:rsidRPr="00736E45">
        <w:rPr>
          <w:rFonts w:asciiTheme="minorHAnsi" w:hAnsiTheme="minorHAnsi"/>
        </w:rPr>
        <w:t xml:space="preserve">The members of the North Yorkshire Community Learning Partnership </w:t>
      </w:r>
      <w:r>
        <w:rPr>
          <w:rFonts w:asciiTheme="minorHAnsi" w:hAnsiTheme="minorHAnsi"/>
        </w:rPr>
        <w:t xml:space="preserve">Strategy Group </w:t>
      </w:r>
      <w:r w:rsidRPr="00736E45">
        <w:rPr>
          <w:rFonts w:asciiTheme="minorHAnsi" w:hAnsiTheme="minorHAnsi"/>
        </w:rPr>
        <w:t xml:space="preserve">have  committed to a Memorandum of </w:t>
      </w:r>
      <w:r>
        <w:rPr>
          <w:rFonts w:asciiTheme="minorHAnsi" w:hAnsiTheme="minorHAnsi"/>
        </w:rPr>
        <w:t>Agreement</w:t>
      </w:r>
      <w:r w:rsidRPr="00736E45">
        <w:rPr>
          <w:rFonts w:asciiTheme="minorHAnsi" w:hAnsiTheme="minorHAnsi"/>
        </w:rPr>
        <w:t>, (attached as Appendix 1), and an integrated partnership approach to the provision of community learning</w:t>
      </w:r>
      <w:r>
        <w:rPr>
          <w:rFonts w:asciiTheme="minorHAnsi" w:hAnsiTheme="minorHAnsi"/>
        </w:rPr>
        <w:t xml:space="preserve">. </w:t>
      </w:r>
      <w:r w:rsidRPr="00736E45">
        <w:rPr>
          <w:rFonts w:asciiTheme="minorHAnsi" w:hAnsiTheme="minorHAnsi"/>
        </w:rPr>
        <w:t xml:space="preserve">They have agreed to support one another as this approach is pursued and </w:t>
      </w:r>
      <w:r>
        <w:rPr>
          <w:rFonts w:asciiTheme="minorHAnsi" w:hAnsiTheme="minorHAnsi"/>
        </w:rPr>
        <w:t xml:space="preserve">are </w:t>
      </w:r>
      <w:r w:rsidRPr="00736E45">
        <w:rPr>
          <w:rFonts w:asciiTheme="minorHAnsi" w:hAnsiTheme="minorHAnsi"/>
        </w:rPr>
        <w:t>very pleased that other community learning providers</w:t>
      </w:r>
      <w:r>
        <w:rPr>
          <w:rFonts w:asciiTheme="minorHAnsi" w:hAnsiTheme="minorHAnsi"/>
        </w:rPr>
        <w:t xml:space="preserve"> and others with an interest in community learning participate i</w:t>
      </w:r>
      <w:r w:rsidRPr="00736E45">
        <w:rPr>
          <w:rFonts w:asciiTheme="minorHAnsi" w:hAnsiTheme="minorHAnsi"/>
        </w:rPr>
        <w:t xml:space="preserve">n groups established at an area level. The </w:t>
      </w:r>
      <w:r>
        <w:rPr>
          <w:rFonts w:asciiTheme="minorHAnsi" w:hAnsiTheme="minorHAnsi"/>
        </w:rPr>
        <w:t xml:space="preserve">Strategy Group </w:t>
      </w:r>
      <w:r w:rsidRPr="00736E45">
        <w:rPr>
          <w:rFonts w:asciiTheme="minorHAnsi" w:hAnsiTheme="minorHAnsi"/>
        </w:rPr>
        <w:t xml:space="preserve">has agreed this statement for </w:t>
      </w:r>
      <w:r>
        <w:rPr>
          <w:rFonts w:asciiTheme="minorHAnsi" w:hAnsiTheme="minorHAnsi"/>
        </w:rPr>
        <w:t xml:space="preserve">area group members as a framework for their discussions and work </w:t>
      </w:r>
      <w:r w:rsidRPr="00736E45">
        <w:rPr>
          <w:rFonts w:asciiTheme="minorHAnsi" w:hAnsiTheme="minorHAnsi"/>
        </w:rPr>
        <w:t xml:space="preserve">so that they can be clear what is, and what is not, expected of them as members of the CLP.    </w:t>
      </w:r>
    </w:p>
    <w:p w:rsidR="000E7CD5" w:rsidRDefault="000E7CD5"/>
    <w:p w:rsidR="00736E45" w:rsidRDefault="00736E45" w:rsidP="00736E45">
      <w:pPr>
        <w:rPr>
          <w:rFonts w:asciiTheme="minorHAnsi" w:hAnsiTheme="minorHAnsi" w:cs="Arial"/>
          <w:iCs/>
        </w:rPr>
      </w:pPr>
      <w:r w:rsidRPr="00736E45">
        <w:rPr>
          <w:rFonts w:asciiTheme="minorHAnsi" w:hAnsiTheme="minorHAnsi" w:cs="Arial"/>
          <w:iCs/>
        </w:rPr>
        <w:t>The St</w:t>
      </w:r>
      <w:r w:rsidR="00007B62">
        <w:rPr>
          <w:rFonts w:asciiTheme="minorHAnsi" w:hAnsiTheme="minorHAnsi" w:cs="Arial"/>
          <w:iCs/>
        </w:rPr>
        <w:t>rategy G</w:t>
      </w:r>
      <w:r w:rsidRPr="00736E45">
        <w:rPr>
          <w:rFonts w:asciiTheme="minorHAnsi" w:hAnsiTheme="minorHAnsi" w:cs="Arial"/>
          <w:iCs/>
        </w:rPr>
        <w:t>roup expects that Area Groups should meet regularly, (at least once per term), and keep high on their agenda a commitment to collaborative planning and increasing the amount of provision specifically targeted towards learners under-represented in learning. However, it also asks individual organisations to work with other members of the Area Groups to try to retain, and indeed develop, a universal offer of community learning opportunities. </w:t>
      </w:r>
    </w:p>
    <w:p w:rsidR="00736E45" w:rsidRDefault="00736E45" w:rsidP="00736E45">
      <w:pPr>
        <w:rPr>
          <w:rFonts w:asciiTheme="minorHAnsi" w:hAnsiTheme="minorHAnsi" w:cs="Arial"/>
          <w:iCs/>
        </w:rPr>
      </w:pPr>
    </w:p>
    <w:p w:rsidR="00736E45" w:rsidRDefault="00007B62" w:rsidP="00736E45">
      <w:pPr>
        <w:rPr>
          <w:rFonts w:asciiTheme="minorHAnsi" w:hAnsiTheme="minorHAnsi" w:cs="Arial"/>
          <w:iCs/>
        </w:rPr>
      </w:pPr>
      <w:r>
        <w:rPr>
          <w:rFonts w:asciiTheme="minorHAnsi" w:hAnsiTheme="minorHAnsi" w:cs="Arial"/>
          <w:iCs/>
        </w:rPr>
        <w:t xml:space="preserve">Specifically, the Strategy </w:t>
      </w:r>
      <w:r w:rsidR="00736E45" w:rsidRPr="00736E45">
        <w:rPr>
          <w:rFonts w:asciiTheme="minorHAnsi" w:hAnsiTheme="minorHAnsi" w:cs="Arial"/>
          <w:iCs/>
        </w:rPr>
        <w:t>Group requests that Area Groups: </w:t>
      </w:r>
    </w:p>
    <w:p w:rsidR="00736E45" w:rsidRPr="00736E45" w:rsidRDefault="00736E45" w:rsidP="00736E45">
      <w:pPr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 xml:space="preserve"> </w:t>
      </w:r>
    </w:p>
    <w:p w:rsidR="00736E45" w:rsidRPr="00736E45" w:rsidRDefault="00736E45" w:rsidP="00736E45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>Review the membership of their groups on a regular basis in order to further conso</w:t>
      </w:r>
      <w:r w:rsidR="00405B06">
        <w:rPr>
          <w:rFonts w:asciiTheme="minorHAnsi" w:hAnsiTheme="minorHAnsi" w:cs="Arial"/>
          <w:iCs/>
        </w:rPr>
        <w:t>lidate and develop their work.</w:t>
      </w:r>
    </w:p>
    <w:p w:rsidR="00405B06" w:rsidRDefault="00736E45" w:rsidP="00405B06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>Contribute to the development of third sector infrastructure and work with voluntary groups</w:t>
      </w:r>
      <w:r w:rsidR="00405B06">
        <w:rPr>
          <w:rFonts w:asciiTheme="minorHAnsi" w:hAnsiTheme="minorHAnsi" w:cs="Arial"/>
          <w:iCs/>
        </w:rPr>
        <w:t>.</w:t>
      </w:r>
    </w:p>
    <w:p w:rsidR="00405B06" w:rsidRPr="00405B06" w:rsidRDefault="00405B06" w:rsidP="00405B06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405B06">
        <w:rPr>
          <w:rFonts w:ascii="Calibri" w:hAnsi="Calibri"/>
        </w:rPr>
        <w:t>P</w:t>
      </w:r>
      <w:r w:rsidRPr="00405B06">
        <w:rPr>
          <w:rFonts w:ascii="Calibri" w:hAnsi="Calibri"/>
        </w:rPr>
        <w:t>lan provision collaboratively in order to maximis</w:t>
      </w:r>
      <w:r>
        <w:rPr>
          <w:rFonts w:ascii="Calibri" w:hAnsi="Calibri"/>
        </w:rPr>
        <w:t xml:space="preserve">e opportunities and facilitate </w:t>
      </w:r>
      <w:r w:rsidRPr="00405B06">
        <w:rPr>
          <w:rFonts w:ascii="Calibri" w:hAnsi="Calibri"/>
        </w:rPr>
        <w:t>progression for participants</w:t>
      </w:r>
      <w:r>
        <w:rPr>
          <w:rFonts w:ascii="Calibri" w:hAnsi="Calibri"/>
        </w:rPr>
        <w:t xml:space="preserve">. </w:t>
      </w:r>
      <w:bookmarkStart w:id="0" w:name="_GoBack"/>
      <w:bookmarkEnd w:id="0"/>
    </w:p>
    <w:p w:rsidR="00736E45" w:rsidRPr="00736E45" w:rsidRDefault="00736E45" w:rsidP="00736E45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 xml:space="preserve">Promote community learning on a collaborative basis and target their efforts towards the communities and individuals in their areas that are most in need. </w:t>
      </w:r>
    </w:p>
    <w:p w:rsidR="00736E45" w:rsidRPr="00736E45" w:rsidRDefault="00736E45" w:rsidP="00736E45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 xml:space="preserve">Work together to ensure (and demonstrate) that community learning provision provides good value for money and “added value”.  </w:t>
      </w:r>
    </w:p>
    <w:p w:rsidR="00736E45" w:rsidRPr="00736E45" w:rsidRDefault="00736E45" w:rsidP="00736E45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 xml:space="preserve">Share information about learner and community needs.  </w:t>
      </w:r>
    </w:p>
    <w:p w:rsidR="00736E45" w:rsidRPr="00736E45" w:rsidRDefault="00736E45" w:rsidP="00736E45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 xml:space="preserve">Respond to particular needs and / or circumstances by identifying a small number of achievable (and measurable) objectives. </w:t>
      </w:r>
    </w:p>
    <w:p w:rsidR="00736E45" w:rsidRPr="00736E45" w:rsidRDefault="00736E45" w:rsidP="00736E45">
      <w:pPr>
        <w:numPr>
          <w:ilvl w:val="2"/>
          <w:numId w:val="1"/>
        </w:numPr>
        <w:ind w:left="360"/>
        <w:rPr>
          <w:rFonts w:asciiTheme="minorHAnsi" w:hAnsiTheme="minorHAnsi" w:cs="Arial"/>
        </w:rPr>
      </w:pPr>
      <w:r w:rsidRPr="00736E45">
        <w:rPr>
          <w:rFonts w:asciiTheme="minorHAnsi" w:hAnsiTheme="minorHAnsi" w:cs="Arial"/>
          <w:iCs/>
        </w:rPr>
        <w:t xml:space="preserve">Shares information and experiences in relation to the opportunities presented by the European Structural Investment Fund. </w:t>
      </w:r>
    </w:p>
    <w:p w:rsidR="00736E45" w:rsidRDefault="00736E45" w:rsidP="00736E45">
      <w:pPr>
        <w:rPr>
          <w:rFonts w:asciiTheme="minorHAnsi" w:hAnsiTheme="minorHAnsi"/>
        </w:rPr>
      </w:pPr>
    </w:p>
    <w:p w:rsidR="00736E45" w:rsidRDefault="00736E45" w:rsidP="00736E45">
      <w:pPr>
        <w:rPr>
          <w:rFonts w:asciiTheme="minorHAnsi" w:hAnsiTheme="minorHAnsi"/>
        </w:rPr>
      </w:pPr>
      <w:r>
        <w:rPr>
          <w:rFonts w:asciiTheme="minorHAnsi" w:hAnsiTheme="minorHAnsi"/>
        </w:rPr>
        <w:t>This statement will be rev</w:t>
      </w:r>
      <w:r w:rsidR="00007B62">
        <w:rPr>
          <w:rFonts w:asciiTheme="minorHAnsi" w:hAnsiTheme="minorHAnsi"/>
        </w:rPr>
        <w:t>iewed at least annually by the S</w:t>
      </w:r>
      <w:r>
        <w:rPr>
          <w:rFonts w:asciiTheme="minorHAnsi" w:hAnsiTheme="minorHAnsi"/>
        </w:rPr>
        <w:t xml:space="preserve">trategy Group. </w:t>
      </w:r>
    </w:p>
    <w:p w:rsidR="00736E45" w:rsidRDefault="00736E45" w:rsidP="00736E45">
      <w:pPr>
        <w:rPr>
          <w:rFonts w:asciiTheme="minorHAnsi" w:hAnsiTheme="minorHAnsi"/>
        </w:rPr>
      </w:pPr>
    </w:p>
    <w:p w:rsidR="00736E45" w:rsidRPr="00736E45" w:rsidRDefault="00736E45" w:rsidP="00736E45">
      <w:pPr>
        <w:rPr>
          <w:rFonts w:asciiTheme="minorHAnsi" w:hAnsiTheme="minorHAnsi"/>
        </w:rPr>
      </w:pPr>
    </w:p>
    <w:sectPr w:rsidR="00736E45" w:rsidRPr="0073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5FA4"/>
    <w:multiLevelType w:val="hybridMultilevel"/>
    <w:tmpl w:val="DDA49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83444"/>
    <w:multiLevelType w:val="hybridMultilevel"/>
    <w:tmpl w:val="143C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45"/>
    <w:rsid w:val="00007B62"/>
    <w:rsid w:val="000E7CD5"/>
    <w:rsid w:val="00405B06"/>
    <w:rsid w:val="007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9060B-BAA2-4150-A6CC-55CF38DB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B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B06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McGee</dc:creator>
  <cp:keywords/>
  <dc:description/>
  <cp:lastModifiedBy>Chris McGee</cp:lastModifiedBy>
  <cp:revision>3</cp:revision>
  <dcterms:created xsi:type="dcterms:W3CDTF">2017-05-12T11:08:00Z</dcterms:created>
  <dcterms:modified xsi:type="dcterms:W3CDTF">2017-07-15T18:25:00Z</dcterms:modified>
</cp:coreProperties>
</file>